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4EF0" w:rsidRDefault="00E34EF0" w:rsidP="00C852FA">
      <w:pPr>
        <w:jc w:val="center"/>
        <w:rPr>
          <w:b/>
          <w:bCs/>
          <w:lang w:val="es-ES"/>
        </w:rPr>
      </w:pPr>
    </w:p>
    <w:p w:rsidR="00E34EF0" w:rsidRDefault="00E34EF0" w:rsidP="00C852FA">
      <w:pPr>
        <w:jc w:val="center"/>
        <w:rPr>
          <w:b/>
          <w:bCs/>
          <w:lang w:val="es-ES"/>
        </w:rPr>
      </w:pPr>
    </w:p>
    <w:p w:rsidR="00E34EF0" w:rsidRDefault="00E34EF0" w:rsidP="00C852FA">
      <w:pPr>
        <w:jc w:val="center"/>
        <w:rPr>
          <w:b/>
          <w:bCs/>
          <w:lang w:val="es-ES"/>
        </w:rPr>
      </w:pPr>
    </w:p>
    <w:p w:rsidR="00EE56B8" w:rsidRDefault="001F1F19" w:rsidP="00C852FA">
      <w:pPr>
        <w:jc w:val="center"/>
        <w:rPr>
          <w:b/>
          <w:bCs/>
          <w:lang w:val="es-ES"/>
        </w:rPr>
      </w:pPr>
      <w:r w:rsidRPr="002372F2">
        <w:rPr>
          <w:b/>
          <w:bCs/>
          <w:lang w:val="es-ES"/>
        </w:rPr>
        <w:t xml:space="preserve">PROYECTOS </w:t>
      </w:r>
      <w:r w:rsidR="00520896">
        <w:rPr>
          <w:b/>
          <w:bCs/>
          <w:lang w:val="es-ES"/>
        </w:rPr>
        <w:t xml:space="preserve">VIGENTES </w:t>
      </w:r>
      <w:r w:rsidRPr="002372F2">
        <w:rPr>
          <w:b/>
          <w:bCs/>
          <w:lang w:val="es-ES"/>
        </w:rPr>
        <w:t>DE VINCULACION</w:t>
      </w:r>
      <w:r w:rsidR="00520896">
        <w:rPr>
          <w:b/>
          <w:bCs/>
          <w:lang w:val="es-ES"/>
        </w:rPr>
        <w:t xml:space="preserve"> CON LA SOCIEDAD </w:t>
      </w:r>
    </w:p>
    <w:p w:rsidR="00AA2F54" w:rsidRPr="002372F2" w:rsidRDefault="00AA2F54" w:rsidP="00AA2F54">
      <w:pPr>
        <w:rPr>
          <w:b/>
          <w:bCs/>
          <w:lang w:val="es-ES"/>
        </w:rPr>
      </w:pPr>
    </w:p>
    <w:p w:rsidR="001F1F19" w:rsidRPr="00E34EF0" w:rsidRDefault="001F1F19" w:rsidP="00C852FA">
      <w:pPr>
        <w:jc w:val="center"/>
        <w:rPr>
          <w:rFonts w:ascii="Times New Roman" w:hAnsi="Times New Roman" w:cs="Times New Roman"/>
          <w:lang w:val="es-ES"/>
        </w:rPr>
      </w:pPr>
    </w:p>
    <w:p w:rsidR="00AA2F54" w:rsidRPr="00E34EF0" w:rsidRDefault="00AA2F54" w:rsidP="00EE56B8">
      <w:pPr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3403"/>
        <w:gridCol w:w="5528"/>
      </w:tblGrid>
      <w:tr w:rsidR="00520896" w:rsidRPr="00E34EF0" w:rsidTr="00520896">
        <w:trPr>
          <w:trHeight w:val="914"/>
        </w:trPr>
        <w:tc>
          <w:tcPr>
            <w:tcW w:w="3403" w:type="dxa"/>
            <w:noWrap/>
            <w:hideMark/>
          </w:tcPr>
          <w:p w:rsidR="00520896" w:rsidRPr="00E34EF0" w:rsidRDefault="00520896" w:rsidP="007544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NOMBRE DEL </w:t>
            </w:r>
            <w:r w:rsidRPr="00E34EF0">
              <w:rPr>
                <w:rFonts w:ascii="Times New Roman" w:hAnsi="Times New Roman" w:cs="Times New Roman"/>
                <w:b/>
                <w:bCs/>
              </w:rPr>
              <w:t>PROYECTO</w:t>
            </w:r>
          </w:p>
        </w:tc>
        <w:tc>
          <w:tcPr>
            <w:tcW w:w="5528" w:type="dxa"/>
            <w:hideMark/>
          </w:tcPr>
          <w:p w:rsidR="00520896" w:rsidRPr="00E34EF0" w:rsidRDefault="00520896" w:rsidP="007544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OBJETIVO GENERAL</w:t>
            </w:r>
          </w:p>
        </w:tc>
      </w:tr>
      <w:tr w:rsidR="00520896" w:rsidRPr="00E34EF0" w:rsidTr="00520896">
        <w:trPr>
          <w:trHeight w:val="1571"/>
        </w:trPr>
        <w:tc>
          <w:tcPr>
            <w:tcW w:w="3403" w:type="dxa"/>
            <w:hideMark/>
          </w:tcPr>
          <w:p w:rsidR="00520896" w:rsidRPr="00E34EF0" w:rsidRDefault="00520896">
            <w:pPr>
              <w:rPr>
                <w:rFonts w:ascii="Times New Roman" w:hAnsi="Times New Roman" w:cs="Times New Roman"/>
              </w:rPr>
            </w:pPr>
            <w:r w:rsidRPr="00E34EF0">
              <w:rPr>
                <w:rFonts w:ascii="Times New Roman" w:hAnsi="Times New Roman" w:cs="Times New Roman"/>
              </w:rPr>
              <w:t>Sustanciación del Tundunchil Cañari como “Patrimonio Cultural Inmaterial del Ecuador”</w:t>
            </w:r>
          </w:p>
        </w:tc>
        <w:tc>
          <w:tcPr>
            <w:tcW w:w="5528" w:type="dxa"/>
            <w:hideMark/>
          </w:tcPr>
          <w:p w:rsidR="00520896" w:rsidRPr="00E34EF0" w:rsidRDefault="00520896" w:rsidP="00520896">
            <w:pPr>
              <w:jc w:val="both"/>
              <w:rPr>
                <w:rFonts w:ascii="Times New Roman" w:hAnsi="Times New Roman" w:cs="Times New Roman"/>
              </w:rPr>
            </w:pPr>
            <w:r w:rsidRPr="00520896">
              <w:rPr>
                <w:rFonts w:ascii="Times New Roman" w:hAnsi="Times New Roman" w:cs="Times New Roman"/>
              </w:rPr>
              <w:t>El objetivo general de este proyecto es la sustanciación etnográfica y etnohistórica del tundunchil Cañari, por su significación social y sus peculiaridades, para ser nominado como patrimonio cultural inmaterial del Ecuador ante las instituciones del estado ecuatoriano.</w:t>
            </w:r>
          </w:p>
        </w:tc>
      </w:tr>
      <w:tr w:rsidR="00520896" w:rsidRPr="00E34EF0" w:rsidTr="00520896">
        <w:trPr>
          <w:trHeight w:val="1708"/>
        </w:trPr>
        <w:tc>
          <w:tcPr>
            <w:tcW w:w="3403" w:type="dxa"/>
          </w:tcPr>
          <w:p w:rsidR="00520896" w:rsidRPr="00E34EF0" w:rsidRDefault="00520896" w:rsidP="005E7CA0">
            <w:pPr>
              <w:rPr>
                <w:rFonts w:ascii="Times New Roman" w:hAnsi="Times New Roman" w:cs="Times New Roman"/>
              </w:rPr>
            </w:pPr>
            <w:r w:rsidRPr="00E34EF0">
              <w:rPr>
                <w:rFonts w:ascii="Times New Roman" w:hAnsi="Times New Roman" w:cs="Times New Roman"/>
              </w:rPr>
              <w:t>Sumak Ruray: Arte, Saber y Comunidad</w:t>
            </w:r>
          </w:p>
        </w:tc>
        <w:tc>
          <w:tcPr>
            <w:tcW w:w="5528" w:type="dxa"/>
          </w:tcPr>
          <w:p w:rsidR="00520896" w:rsidRPr="00E34EF0" w:rsidRDefault="00520896" w:rsidP="00520896">
            <w:pPr>
              <w:jc w:val="both"/>
              <w:rPr>
                <w:rFonts w:ascii="Times New Roman" w:hAnsi="Times New Roman" w:cs="Times New Roman"/>
              </w:rPr>
            </w:pPr>
            <w:r w:rsidRPr="00520896">
              <w:rPr>
                <w:rFonts w:ascii="Times New Roman" w:hAnsi="Times New Roman" w:cs="Times New Roman"/>
              </w:rPr>
              <w:t>Vincular a los saberes ancestrales, comunitarios y artisticos con procesos socioeducativos, mediante actividades junto con la sociedad, a nivel local, zonal y nacional, fomentando la diversidad sociocultural y el  patrimonio del Ecuador.</w:t>
            </w:r>
          </w:p>
        </w:tc>
      </w:tr>
      <w:tr w:rsidR="00520896" w:rsidRPr="00E34EF0" w:rsidTr="00520896">
        <w:trPr>
          <w:trHeight w:val="2540"/>
        </w:trPr>
        <w:tc>
          <w:tcPr>
            <w:tcW w:w="3403" w:type="dxa"/>
            <w:hideMark/>
          </w:tcPr>
          <w:p w:rsidR="00520896" w:rsidRPr="00E34EF0" w:rsidRDefault="00520896" w:rsidP="005E7CA0">
            <w:pPr>
              <w:rPr>
                <w:rFonts w:ascii="Times New Roman" w:hAnsi="Times New Roman" w:cs="Times New Roman"/>
                <w:lang w:val="en-US"/>
              </w:rPr>
            </w:pPr>
            <w:r w:rsidRPr="00E34EF0">
              <w:rPr>
                <w:rFonts w:ascii="Times New Roman" w:hAnsi="Times New Roman" w:cs="Times New Roman"/>
                <w:lang w:val="en-US"/>
              </w:rPr>
              <w:t>Having fun and teaching/learning English (</w:t>
            </w:r>
            <w:proofErr w:type="spellStart"/>
            <w:r w:rsidRPr="00E34EF0">
              <w:rPr>
                <w:rFonts w:ascii="Times New Roman" w:hAnsi="Times New Roman" w:cs="Times New Roman"/>
                <w:lang w:val="en-US"/>
              </w:rPr>
              <w:t>divirtiéndonos</w:t>
            </w:r>
            <w:proofErr w:type="spellEnd"/>
            <w:r w:rsidRPr="00E34EF0">
              <w:rPr>
                <w:rFonts w:ascii="Times New Roman" w:hAnsi="Times New Roman" w:cs="Times New Roman"/>
                <w:lang w:val="en-US"/>
              </w:rPr>
              <w:t xml:space="preserve"> y </w:t>
            </w:r>
            <w:proofErr w:type="spellStart"/>
            <w:r w:rsidRPr="00E34EF0">
              <w:rPr>
                <w:rFonts w:ascii="Times New Roman" w:hAnsi="Times New Roman" w:cs="Times New Roman"/>
                <w:lang w:val="en-US"/>
              </w:rPr>
              <w:t>enseñando</w:t>
            </w:r>
            <w:proofErr w:type="spellEnd"/>
            <w:r w:rsidRPr="00E34EF0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E34EF0">
              <w:rPr>
                <w:rFonts w:ascii="Times New Roman" w:hAnsi="Times New Roman" w:cs="Times New Roman"/>
                <w:lang w:val="en-US"/>
              </w:rPr>
              <w:t>aprendiendo</w:t>
            </w:r>
            <w:proofErr w:type="spellEnd"/>
            <w:r w:rsidRPr="00E34EF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34EF0">
              <w:rPr>
                <w:rFonts w:ascii="Times New Roman" w:hAnsi="Times New Roman" w:cs="Times New Roman"/>
                <w:lang w:val="en-US"/>
              </w:rPr>
              <w:t>Inglés</w:t>
            </w:r>
            <w:proofErr w:type="spellEnd"/>
            <w:r w:rsidRPr="00E34EF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528" w:type="dxa"/>
            <w:hideMark/>
          </w:tcPr>
          <w:p w:rsidR="00520896" w:rsidRPr="00E34EF0" w:rsidRDefault="00520896" w:rsidP="00520896">
            <w:pPr>
              <w:jc w:val="both"/>
              <w:rPr>
                <w:rFonts w:ascii="Times New Roman" w:hAnsi="Times New Roman" w:cs="Times New Roman"/>
              </w:rPr>
            </w:pPr>
            <w:r w:rsidRPr="00520896">
              <w:rPr>
                <w:rFonts w:ascii="Times New Roman" w:hAnsi="Times New Roman" w:cs="Times New Roman"/>
              </w:rPr>
              <w:t xml:space="preserve">Desarrollar competencia comunicativa en idioma inglés en estudiantes del sector vulnerable de </w:t>
            </w:r>
            <w:r>
              <w:rPr>
                <w:rFonts w:ascii="Times New Roman" w:hAnsi="Times New Roman" w:cs="Times New Roman"/>
              </w:rPr>
              <w:t>C</w:t>
            </w:r>
            <w:r w:rsidRPr="00520896">
              <w:rPr>
                <w:rFonts w:ascii="Times New Roman" w:hAnsi="Times New Roman" w:cs="Times New Roman"/>
              </w:rPr>
              <w:t xml:space="preserve">uenca, </w:t>
            </w:r>
            <w:r>
              <w:rPr>
                <w:rFonts w:ascii="Times New Roman" w:hAnsi="Times New Roman" w:cs="Times New Roman"/>
              </w:rPr>
              <w:t>Az</w:t>
            </w:r>
            <w:r w:rsidRPr="00520896">
              <w:rPr>
                <w:rFonts w:ascii="Times New Roman" w:hAnsi="Times New Roman" w:cs="Times New Roman"/>
              </w:rPr>
              <w:t xml:space="preserve">ogues y </w:t>
            </w:r>
            <w:r>
              <w:rPr>
                <w:rFonts w:ascii="Times New Roman" w:hAnsi="Times New Roman" w:cs="Times New Roman"/>
              </w:rPr>
              <w:t>G</w:t>
            </w:r>
            <w:r w:rsidRPr="00520896">
              <w:rPr>
                <w:rFonts w:ascii="Times New Roman" w:hAnsi="Times New Roman" w:cs="Times New Roman"/>
              </w:rPr>
              <w:t xml:space="preserve">ualaceo (incluyendo alumnos de </w:t>
            </w:r>
            <w:r>
              <w:rPr>
                <w:rFonts w:ascii="Times New Roman" w:hAnsi="Times New Roman" w:cs="Times New Roman"/>
              </w:rPr>
              <w:t>C</w:t>
            </w:r>
            <w:r w:rsidRPr="00520896">
              <w:rPr>
                <w:rFonts w:ascii="Times New Roman" w:hAnsi="Times New Roman" w:cs="Times New Roman"/>
              </w:rPr>
              <w:t>hordel</w:t>
            </w:r>
            <w:r>
              <w:rPr>
                <w:rFonts w:ascii="Times New Roman" w:hAnsi="Times New Roman" w:cs="Times New Roman"/>
              </w:rPr>
              <w:t>é</w:t>
            </w:r>
            <w:r w:rsidRPr="00520896">
              <w:rPr>
                <w:rFonts w:ascii="Times New Roman" w:hAnsi="Times New Roman" w:cs="Times New Roman"/>
              </w:rPr>
              <w:t xml:space="preserve">g y </w:t>
            </w:r>
            <w:r>
              <w:rPr>
                <w:rFonts w:ascii="Times New Roman" w:hAnsi="Times New Roman" w:cs="Times New Roman"/>
              </w:rPr>
              <w:t>P</w:t>
            </w:r>
            <w:r w:rsidRPr="00520896">
              <w:rPr>
                <w:rFonts w:ascii="Times New Roman" w:hAnsi="Times New Roman" w:cs="Times New Roman"/>
              </w:rPr>
              <w:t xml:space="preserve">aute) mediante la realización de actividades lúdicas, así como apoyar la enseñanza de inglés en las </w:t>
            </w:r>
            <w:r>
              <w:rPr>
                <w:rFonts w:ascii="Times New Roman" w:hAnsi="Times New Roman" w:cs="Times New Roman"/>
              </w:rPr>
              <w:t>I</w:t>
            </w:r>
            <w:r w:rsidRPr="00520896">
              <w:rPr>
                <w:rFonts w:ascii="Times New Roman" w:hAnsi="Times New Roman" w:cs="Times New Roman"/>
              </w:rPr>
              <w:t xml:space="preserve">nstituciones </w:t>
            </w:r>
            <w:r>
              <w:rPr>
                <w:rFonts w:ascii="Times New Roman" w:hAnsi="Times New Roman" w:cs="Times New Roman"/>
              </w:rPr>
              <w:t>E</w:t>
            </w:r>
            <w:r w:rsidRPr="00520896">
              <w:rPr>
                <w:rFonts w:ascii="Times New Roman" w:hAnsi="Times New Roman" w:cs="Times New Roman"/>
              </w:rPr>
              <w:t xml:space="preserve">ducativas que no cuenten con el número de docentes capacitados para esta tarea en la </w:t>
            </w:r>
            <w:r>
              <w:rPr>
                <w:rFonts w:ascii="Times New Roman" w:hAnsi="Times New Roman" w:cs="Times New Roman"/>
              </w:rPr>
              <w:t>z</w:t>
            </w:r>
            <w:r w:rsidRPr="00520896">
              <w:rPr>
                <w:rFonts w:ascii="Times New Roman" w:hAnsi="Times New Roman" w:cs="Times New Roman"/>
              </w:rPr>
              <w:t>ona.</w:t>
            </w:r>
          </w:p>
        </w:tc>
      </w:tr>
      <w:tr w:rsidR="00520896" w:rsidRPr="00E34EF0" w:rsidTr="00520896">
        <w:trPr>
          <w:trHeight w:val="2936"/>
        </w:trPr>
        <w:tc>
          <w:tcPr>
            <w:tcW w:w="3403" w:type="dxa"/>
            <w:hideMark/>
          </w:tcPr>
          <w:p w:rsidR="00520896" w:rsidRPr="00E34EF0" w:rsidRDefault="00520896" w:rsidP="005E7CA0">
            <w:pPr>
              <w:rPr>
                <w:rFonts w:ascii="Times New Roman" w:hAnsi="Times New Roman" w:cs="Times New Roman"/>
              </w:rPr>
            </w:pPr>
            <w:r w:rsidRPr="00E34EF0">
              <w:rPr>
                <w:rFonts w:ascii="Times New Roman" w:hAnsi="Times New Roman" w:cs="Times New Roman"/>
              </w:rPr>
              <w:t>Access Microscholarship Program (ACCESS)</w:t>
            </w:r>
          </w:p>
        </w:tc>
        <w:tc>
          <w:tcPr>
            <w:tcW w:w="5528" w:type="dxa"/>
            <w:hideMark/>
          </w:tcPr>
          <w:p w:rsidR="00520896" w:rsidRPr="00E34EF0" w:rsidRDefault="00520896" w:rsidP="00520896">
            <w:pPr>
              <w:jc w:val="both"/>
              <w:rPr>
                <w:rFonts w:ascii="Times New Roman" w:hAnsi="Times New Roman" w:cs="Times New Roman"/>
              </w:rPr>
            </w:pPr>
            <w:r w:rsidRPr="00520896">
              <w:rPr>
                <w:rFonts w:ascii="Times New Roman" w:hAnsi="Times New Roman" w:cs="Times New Roman"/>
              </w:rPr>
              <w:t xml:space="preserve">Brindarles a los estudiantes la oportunidad de conseguir un nivel de inglés adecuado para apoyarles en sus objetivos académicos y profesionales futuros, sin que tengan que contribuir ninguna aportación económica, gracias a los fondos otorgados por la embajada de </w:t>
            </w:r>
            <w:r>
              <w:rPr>
                <w:rFonts w:ascii="Times New Roman" w:hAnsi="Times New Roman" w:cs="Times New Roman"/>
              </w:rPr>
              <w:t>EE.UU</w:t>
            </w:r>
            <w:r w:rsidRPr="00520896">
              <w:rPr>
                <w:rFonts w:ascii="Times New Roman" w:hAnsi="Times New Roman" w:cs="Times New Roman"/>
              </w:rPr>
              <w:t xml:space="preserve"> las clases de inglés, aparte de su enfoque en el idioma, también se basan en habilidades de liderazgo y trabajo comunitario, con el fin de aportar a los estudiantes las herramientas que necesitan para ser futuros líderes en sus comunidades.</w:t>
            </w:r>
          </w:p>
        </w:tc>
      </w:tr>
      <w:tr w:rsidR="00520896" w:rsidRPr="00E34EF0" w:rsidTr="00520896">
        <w:trPr>
          <w:trHeight w:val="3329"/>
        </w:trPr>
        <w:tc>
          <w:tcPr>
            <w:tcW w:w="3403" w:type="dxa"/>
          </w:tcPr>
          <w:p w:rsidR="00520896" w:rsidRPr="00E34EF0" w:rsidRDefault="00520896" w:rsidP="005E7CA0">
            <w:pPr>
              <w:rPr>
                <w:rFonts w:ascii="Times New Roman" w:hAnsi="Times New Roman" w:cs="Times New Roman"/>
              </w:rPr>
            </w:pPr>
            <w:r w:rsidRPr="00E34EF0">
              <w:rPr>
                <w:rFonts w:ascii="Times New Roman" w:hAnsi="Times New Roman" w:cs="Times New Roman"/>
              </w:rPr>
              <w:lastRenderedPageBreak/>
              <w:t>Centro de prácticas inclusivas</w:t>
            </w:r>
            <w:r w:rsidR="00754460">
              <w:rPr>
                <w:rFonts w:ascii="Times New Roman" w:hAnsi="Times New Roman" w:cs="Times New Roman"/>
              </w:rPr>
              <w:t xml:space="preserve"> – Fase 2</w:t>
            </w:r>
          </w:p>
        </w:tc>
        <w:tc>
          <w:tcPr>
            <w:tcW w:w="5528" w:type="dxa"/>
          </w:tcPr>
          <w:p w:rsidR="00520896" w:rsidRPr="00E34EF0" w:rsidRDefault="00520896" w:rsidP="00520896">
            <w:pPr>
              <w:jc w:val="both"/>
              <w:rPr>
                <w:rFonts w:ascii="Times New Roman" w:hAnsi="Times New Roman" w:cs="Times New Roman"/>
              </w:rPr>
            </w:pPr>
            <w:r w:rsidRPr="00520896">
              <w:rPr>
                <w:rFonts w:ascii="Times New Roman" w:hAnsi="Times New Roman" w:cs="Times New Roman"/>
              </w:rPr>
              <w:t>Generar en las provincias de Azuay y Cañar un espacio que brinde atención de calidad con equidad y pertinencia a la población de niños, niñas y adolescentes con necesidades educativas especiales asociadas o no a la discapacidad en las áreas de estimulación temprana, logopedia, atención a las personas con discapacidad sensorial y/o intelectual y orientación vocacional, con un enfoque de educación inclusiva, haciendo efectivos los derechos a la educación, la participación y la igualdad de oportunidades para todos los niños, niñas y jóvenes</w:t>
            </w:r>
          </w:p>
        </w:tc>
      </w:tr>
      <w:tr w:rsidR="00520896" w:rsidRPr="00E34EF0" w:rsidTr="00520896">
        <w:trPr>
          <w:trHeight w:val="1310"/>
        </w:trPr>
        <w:tc>
          <w:tcPr>
            <w:tcW w:w="3403" w:type="dxa"/>
            <w:hideMark/>
          </w:tcPr>
          <w:p w:rsidR="00520896" w:rsidRPr="00E34EF0" w:rsidRDefault="00520896" w:rsidP="005E7CA0">
            <w:pPr>
              <w:rPr>
                <w:rFonts w:ascii="Times New Roman" w:hAnsi="Times New Roman" w:cs="Times New Roman"/>
              </w:rPr>
            </w:pPr>
            <w:r w:rsidRPr="00E34EF0">
              <w:rPr>
                <w:rFonts w:ascii="Times New Roman" w:hAnsi="Times New Roman" w:cs="Times New Roman"/>
              </w:rPr>
              <w:t>Acompañamiento lúdico-educativo a niños, niñas y adolescentes en situación de vulnerabilidad.</w:t>
            </w:r>
          </w:p>
        </w:tc>
        <w:tc>
          <w:tcPr>
            <w:tcW w:w="5528" w:type="dxa"/>
            <w:hideMark/>
          </w:tcPr>
          <w:p w:rsidR="00520896" w:rsidRPr="00E34EF0" w:rsidRDefault="00520896" w:rsidP="00520896">
            <w:pPr>
              <w:jc w:val="both"/>
              <w:rPr>
                <w:rFonts w:ascii="Times New Roman" w:hAnsi="Times New Roman" w:cs="Times New Roman"/>
              </w:rPr>
            </w:pPr>
            <w:r w:rsidRPr="00520896">
              <w:rPr>
                <w:rFonts w:ascii="Times New Roman" w:hAnsi="Times New Roman" w:cs="Times New Roman"/>
              </w:rPr>
              <w:t>Colaborar activamente con el proceso de educación integral de los niños, niñas y adolescentes en situación de vulnerabilidad para contribuir en su proceso de formación.</w:t>
            </w:r>
          </w:p>
        </w:tc>
      </w:tr>
      <w:tr w:rsidR="00520896" w:rsidRPr="00E34EF0" w:rsidTr="00520896">
        <w:trPr>
          <w:trHeight w:val="1414"/>
        </w:trPr>
        <w:tc>
          <w:tcPr>
            <w:tcW w:w="3403" w:type="dxa"/>
            <w:hideMark/>
          </w:tcPr>
          <w:p w:rsidR="00520896" w:rsidRPr="00E34EF0" w:rsidRDefault="00520896" w:rsidP="005E7CA0">
            <w:pPr>
              <w:rPr>
                <w:rFonts w:ascii="Times New Roman" w:hAnsi="Times New Roman" w:cs="Times New Roman"/>
              </w:rPr>
            </w:pPr>
            <w:r w:rsidRPr="00E34EF0">
              <w:rPr>
                <w:rFonts w:ascii="Times New Roman" w:hAnsi="Times New Roman" w:cs="Times New Roman"/>
              </w:rPr>
              <w:t>La educación sexual y de género como herramienta básica para fomentar una cultura de paz y buenas prácticas.</w:t>
            </w:r>
          </w:p>
        </w:tc>
        <w:tc>
          <w:tcPr>
            <w:tcW w:w="5528" w:type="dxa"/>
            <w:hideMark/>
          </w:tcPr>
          <w:p w:rsidR="00520896" w:rsidRPr="00E34EF0" w:rsidRDefault="00520896" w:rsidP="00520896">
            <w:pPr>
              <w:jc w:val="both"/>
              <w:rPr>
                <w:rFonts w:ascii="Times New Roman" w:hAnsi="Times New Roman" w:cs="Times New Roman"/>
              </w:rPr>
            </w:pPr>
            <w:r w:rsidRPr="00E34EF0">
              <w:rPr>
                <w:rFonts w:ascii="Times New Roman" w:hAnsi="Times New Roman" w:cs="Times New Roman"/>
              </w:rPr>
              <w:br/>
            </w:r>
            <w:r w:rsidRPr="00520896">
              <w:rPr>
                <w:rFonts w:ascii="Times New Roman" w:hAnsi="Times New Roman" w:cs="Times New Roman"/>
              </w:rPr>
              <w:t>Generar espacios y procesos educativos y educomunicacionales para la construcción de equidad de género y educación sexual.</w:t>
            </w:r>
          </w:p>
        </w:tc>
      </w:tr>
      <w:tr w:rsidR="00520896" w:rsidRPr="00E34EF0" w:rsidTr="00520896">
        <w:trPr>
          <w:trHeight w:val="89"/>
        </w:trPr>
        <w:tc>
          <w:tcPr>
            <w:tcW w:w="3403" w:type="dxa"/>
            <w:hideMark/>
          </w:tcPr>
          <w:p w:rsidR="00520896" w:rsidRPr="00E34EF0" w:rsidRDefault="00520896" w:rsidP="005E7CA0">
            <w:pPr>
              <w:rPr>
                <w:rFonts w:ascii="Times New Roman" w:hAnsi="Times New Roman" w:cs="Times New Roman"/>
              </w:rPr>
            </w:pPr>
            <w:r w:rsidRPr="00E34EF0">
              <w:rPr>
                <w:rFonts w:ascii="Times New Roman" w:hAnsi="Times New Roman" w:cs="Times New Roman"/>
              </w:rPr>
              <w:t>Educación para la conciencia y acción ambiental</w:t>
            </w:r>
          </w:p>
        </w:tc>
        <w:tc>
          <w:tcPr>
            <w:tcW w:w="5528" w:type="dxa"/>
            <w:hideMark/>
          </w:tcPr>
          <w:p w:rsidR="00520896" w:rsidRPr="00E34EF0" w:rsidRDefault="00520896" w:rsidP="00520896">
            <w:pPr>
              <w:jc w:val="both"/>
              <w:rPr>
                <w:rFonts w:ascii="Times New Roman" w:hAnsi="Times New Roman" w:cs="Times New Roman"/>
              </w:rPr>
            </w:pPr>
            <w:r w:rsidRPr="00520896">
              <w:rPr>
                <w:rFonts w:ascii="Times New Roman" w:hAnsi="Times New Roman" w:cs="Times New Roman"/>
              </w:rPr>
              <w:t xml:space="preserve">Concientizar y accionar mediante procesos ligados a la educación para generar cambios hacia hábitos más sostenibles en las comunidades con las que la </w:t>
            </w:r>
            <w:r>
              <w:rPr>
                <w:rFonts w:ascii="Times New Roman" w:hAnsi="Times New Roman" w:cs="Times New Roman"/>
              </w:rPr>
              <w:t>UNAE</w:t>
            </w:r>
            <w:r w:rsidRPr="00520896">
              <w:rPr>
                <w:rFonts w:ascii="Times New Roman" w:hAnsi="Times New Roman" w:cs="Times New Roman"/>
              </w:rPr>
              <w:t xml:space="preserve"> campus atriz tiene relación directa.</w:t>
            </w:r>
          </w:p>
        </w:tc>
      </w:tr>
      <w:tr w:rsidR="00754460" w:rsidRPr="00E34EF0" w:rsidTr="00E87005">
        <w:trPr>
          <w:trHeight w:val="89"/>
        </w:trPr>
        <w:tc>
          <w:tcPr>
            <w:tcW w:w="3403" w:type="dxa"/>
            <w:vAlign w:val="center"/>
          </w:tcPr>
          <w:p w:rsidR="00754460" w:rsidRPr="00D30A6C" w:rsidRDefault="00754460" w:rsidP="00754460">
            <w:pPr>
              <w:rPr>
                <w:rFonts w:ascii="Calibri" w:eastAsia="Times New Roman" w:hAnsi="Calibri" w:cs="Calibri"/>
                <w:color w:val="000000"/>
              </w:rPr>
            </w:pPr>
            <w:r w:rsidRPr="00D30A6C">
              <w:rPr>
                <w:rFonts w:ascii="Calibri" w:eastAsia="Times New Roman" w:hAnsi="Calibri" w:cs="Calibri"/>
                <w:color w:val="000000"/>
              </w:rPr>
              <w:t xml:space="preserve">Con-jugando: Leer y escribir </w:t>
            </w:r>
          </w:p>
        </w:tc>
        <w:tc>
          <w:tcPr>
            <w:tcW w:w="5528" w:type="dxa"/>
          </w:tcPr>
          <w:p w:rsidR="00754460" w:rsidRPr="00E34372" w:rsidRDefault="00754460" w:rsidP="00754460">
            <w:pPr>
              <w:tabs>
                <w:tab w:val="left" w:pos="1362"/>
              </w:tabs>
            </w:pPr>
            <w:r w:rsidRPr="00E34372">
              <w:t xml:space="preserve">Contribuir al desarrollo de competencias de lectura y escritura de los niños, la familia y la comunidad. </w:t>
            </w:r>
          </w:p>
          <w:p w:rsidR="00754460" w:rsidRPr="00520896" w:rsidRDefault="00754460" w:rsidP="007544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4460" w:rsidRPr="00E34EF0" w:rsidTr="00012943">
        <w:trPr>
          <w:trHeight w:val="89"/>
        </w:trPr>
        <w:tc>
          <w:tcPr>
            <w:tcW w:w="3403" w:type="dxa"/>
            <w:vAlign w:val="center"/>
          </w:tcPr>
          <w:p w:rsidR="00754460" w:rsidRPr="00D30A6C" w:rsidRDefault="00754460" w:rsidP="00754460">
            <w:pPr>
              <w:jc w:val="both"/>
              <w:rPr>
                <w:rFonts w:eastAsia="Times New Roman"/>
                <w:color w:val="000000"/>
              </w:rPr>
            </w:pPr>
            <w:r w:rsidRPr="00D30A6C">
              <w:rPr>
                <w:rFonts w:eastAsia="Times New Roman"/>
                <w:color w:val="000000"/>
              </w:rPr>
              <w:t>“Rincón infantil de aprendizaje móvil social (RIAMOS)</w:t>
            </w:r>
            <w:r w:rsidRPr="00D30A6C">
              <w:rPr>
                <w:rFonts w:eastAsia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5528" w:type="dxa"/>
            <w:vAlign w:val="center"/>
          </w:tcPr>
          <w:p w:rsidR="00754460" w:rsidRPr="003E14BF" w:rsidRDefault="00754460" w:rsidP="00754460">
            <w:pPr>
              <w:rPr>
                <w:rFonts w:eastAsia="Arial"/>
                <w:lang w:val="es-ES"/>
              </w:rPr>
            </w:pPr>
            <w:r>
              <w:rPr>
                <w:rFonts w:eastAsia="Arial" w:cstheme="minorHAnsi"/>
                <w:lang w:val="es-ES"/>
              </w:rPr>
              <w:t>Garantizar el desarrollo integral de los niños y niñas de 0 a 6 años de las provincias de Azuay y Cañar, proponiendo didácticas específicas a ser utilizadas en los rincones de aprendizaje, que generen situaciones conducentes a la solución de problemas reales.</w:t>
            </w:r>
          </w:p>
        </w:tc>
      </w:tr>
      <w:tr w:rsidR="00754460" w:rsidRPr="00E34EF0" w:rsidTr="00E87005">
        <w:trPr>
          <w:trHeight w:val="89"/>
        </w:trPr>
        <w:tc>
          <w:tcPr>
            <w:tcW w:w="3403" w:type="dxa"/>
            <w:vAlign w:val="center"/>
          </w:tcPr>
          <w:p w:rsidR="00754460" w:rsidRPr="00D30A6C" w:rsidRDefault="00754460" w:rsidP="00754460">
            <w:pPr>
              <w:rPr>
                <w:rFonts w:eastAsia="Times New Roman"/>
                <w:color w:val="000000"/>
              </w:rPr>
            </w:pPr>
            <w:r w:rsidRPr="00D30A6C">
              <w:rPr>
                <w:rFonts w:eastAsia="Times New Roman"/>
              </w:rPr>
              <w:t xml:space="preserve">Reforzando mis habilidades en Matemática y Lengua y Literatura </w:t>
            </w:r>
          </w:p>
        </w:tc>
        <w:tc>
          <w:tcPr>
            <w:tcW w:w="5528" w:type="dxa"/>
          </w:tcPr>
          <w:p w:rsidR="00754460" w:rsidRPr="00487211" w:rsidRDefault="00754460" w:rsidP="00754460">
            <w:pPr>
              <w:tabs>
                <w:tab w:val="left" w:pos="1362"/>
              </w:tabs>
              <w:rPr>
                <w:rFonts w:ascii="Times" w:hAnsi="Times"/>
                <w:color w:val="000000"/>
              </w:rPr>
            </w:pPr>
            <w:r w:rsidRPr="00487211">
              <w:rPr>
                <w:rFonts w:ascii="Times" w:hAnsi="Times"/>
                <w:color w:val="000000"/>
              </w:rPr>
              <w:t xml:space="preserve">Fortalecer el desarrollo de destrezas propias de las áreas de Matemáticas y Lengua y Literatura en niños y niñas de educación básica media de instituciones educativas fiscales del cantón Azogues a través de espacios creados para refuerzo académico. </w:t>
            </w:r>
          </w:p>
          <w:p w:rsidR="00754460" w:rsidRPr="00520896" w:rsidRDefault="00754460" w:rsidP="00754460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54460" w:rsidRPr="00E34EF0" w:rsidTr="00E87005">
        <w:trPr>
          <w:trHeight w:val="89"/>
        </w:trPr>
        <w:tc>
          <w:tcPr>
            <w:tcW w:w="3403" w:type="dxa"/>
            <w:vAlign w:val="center"/>
          </w:tcPr>
          <w:p w:rsidR="00754460" w:rsidRPr="00D30A6C" w:rsidRDefault="00754460" w:rsidP="00754460">
            <w:pPr>
              <w:rPr>
                <w:rFonts w:eastAsia="Times New Roman"/>
                <w:color w:val="000000"/>
              </w:rPr>
            </w:pPr>
            <w:r w:rsidRPr="00D30A6C">
              <w:rPr>
                <w:rFonts w:eastAsia="Times New Roman"/>
              </w:rPr>
              <w:t>“Centro de prácticas inclusivas de la Universidad Nacional de Educación</w:t>
            </w:r>
            <w:r w:rsidRPr="00D30A6C">
              <w:rPr>
                <w:rFonts w:eastAsia="Times New Roman"/>
                <w:color w:val="000000"/>
                <w:sz w:val="20"/>
                <w:szCs w:val="20"/>
              </w:rPr>
              <w:t>”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FASE 2</w:t>
            </w:r>
          </w:p>
        </w:tc>
        <w:tc>
          <w:tcPr>
            <w:tcW w:w="5528" w:type="dxa"/>
          </w:tcPr>
          <w:p w:rsidR="00754460" w:rsidRPr="00042964" w:rsidRDefault="00754460" w:rsidP="00754460">
            <w:pPr>
              <w:pStyle w:val="Encabezado"/>
              <w:tabs>
                <w:tab w:val="left" w:pos="-142"/>
              </w:tabs>
              <w:suppressAutoHyphens/>
              <w:spacing w:before="60" w:after="60"/>
              <w:jc w:val="both"/>
              <w:rPr>
                <w:color w:val="000000"/>
              </w:rPr>
            </w:pPr>
            <w:r w:rsidRPr="00042964">
              <w:rPr>
                <w:color w:val="000000"/>
              </w:rPr>
              <w:t xml:space="preserve">La iniciativa tiene como fin último generar en la región centro sur del Ecuador un espacio que brinde atención de calidad con equidad y pertinencia a niños, niñas y adolescentes con necesidades de apoyo educativo asociadas o no a la discapacidad, en las áreas de estimulación multisensorial, desarrollo del lenguaje, atención psicopedagógica y aplicación de la tecnología </w:t>
            </w:r>
            <w:r w:rsidRPr="00042964">
              <w:rPr>
                <w:color w:val="000000"/>
              </w:rPr>
              <w:lastRenderedPageBreak/>
              <w:t>(tiflotecnología) en la inclusión educativa de personas con discapacidad sensorial.</w:t>
            </w:r>
          </w:p>
          <w:p w:rsidR="00754460" w:rsidRPr="00520896" w:rsidRDefault="00754460" w:rsidP="00754460">
            <w:pPr>
              <w:jc w:val="both"/>
              <w:rPr>
                <w:rFonts w:ascii="Times New Roman" w:hAnsi="Times New Roman" w:cs="Times New Roman"/>
              </w:rPr>
            </w:pPr>
            <w:r w:rsidRPr="00042964">
              <w:rPr>
                <w:color w:val="000000"/>
              </w:rPr>
              <w:t>En esta dirección, el objetivo general de la iniciativa se refiere a: Contribuir al acceso, participación y aprendizaje de calidad, en el marco del sistema educativo formal, de todas las niñas, niños y adolescentes, con sus capacidades y diferencias específicas, a partir de la intervención socio – psico – educativa, holística y sistemática y desde la interacción estudiantes - familia – escuela – comunidad.</w:t>
            </w:r>
          </w:p>
        </w:tc>
      </w:tr>
      <w:tr w:rsidR="00754460" w:rsidRPr="00E34EF0" w:rsidTr="00E87005">
        <w:trPr>
          <w:trHeight w:val="89"/>
        </w:trPr>
        <w:tc>
          <w:tcPr>
            <w:tcW w:w="3403" w:type="dxa"/>
            <w:vAlign w:val="center"/>
          </w:tcPr>
          <w:p w:rsidR="00754460" w:rsidRPr="00D30A6C" w:rsidRDefault="00754460" w:rsidP="00754460">
            <w:pPr>
              <w:jc w:val="both"/>
              <w:rPr>
                <w:rFonts w:eastAsia="Times New Roman"/>
                <w:color w:val="000000"/>
              </w:rPr>
            </w:pPr>
            <w:r w:rsidRPr="00D30A6C">
              <w:rPr>
                <w:rFonts w:eastAsia="Times New Roman"/>
              </w:rPr>
              <w:lastRenderedPageBreak/>
              <w:t xml:space="preserve">“Ambiente socio comunitario "Juega y Aprende" para la atención infantil integral, modalidad no convencional” – FASE II </w:t>
            </w:r>
          </w:p>
        </w:tc>
        <w:tc>
          <w:tcPr>
            <w:tcW w:w="5528" w:type="dxa"/>
          </w:tcPr>
          <w:p w:rsidR="00754460" w:rsidRPr="00416D6A" w:rsidRDefault="00754460" w:rsidP="00754460">
            <w:pPr>
              <w:tabs>
                <w:tab w:val="left" w:pos="1362"/>
              </w:tabs>
              <w:rPr>
                <w:color w:val="000000"/>
              </w:rPr>
            </w:pPr>
            <w:r w:rsidRPr="00416D6A">
              <w:rPr>
                <w:color w:val="000000"/>
              </w:rPr>
              <w:t>Brindar atención no convencional en desarrollo Integral infantil y familia, mediante alianzas estratégicas a la primera infancia en un ambiente socio comunitario en la parroquia Javier Loyola (Azogues - Cañar)</w:t>
            </w:r>
            <w:r>
              <w:rPr>
                <w:color w:val="000000"/>
              </w:rPr>
              <w:t>.</w:t>
            </w:r>
          </w:p>
          <w:p w:rsidR="00754460" w:rsidRPr="00520896" w:rsidRDefault="00754460" w:rsidP="007544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4460" w:rsidRPr="00E34EF0" w:rsidTr="00E87005">
        <w:trPr>
          <w:trHeight w:val="89"/>
        </w:trPr>
        <w:tc>
          <w:tcPr>
            <w:tcW w:w="3403" w:type="dxa"/>
            <w:vAlign w:val="center"/>
          </w:tcPr>
          <w:p w:rsidR="00754460" w:rsidRPr="00D30A6C" w:rsidRDefault="00754460" w:rsidP="0075446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Archivo fotográfico </w:t>
            </w:r>
          </w:p>
        </w:tc>
        <w:tc>
          <w:tcPr>
            <w:tcW w:w="5528" w:type="dxa"/>
          </w:tcPr>
          <w:p w:rsidR="00754460" w:rsidRPr="00520896" w:rsidRDefault="00754460" w:rsidP="00754460">
            <w:pPr>
              <w:jc w:val="both"/>
              <w:rPr>
                <w:rFonts w:ascii="Times New Roman" w:hAnsi="Times New Roman" w:cs="Times New Roman"/>
              </w:rPr>
            </w:pPr>
            <w:r w:rsidRPr="00D438EC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Creación de un archivo digital fotográfico histórico de Azogues de acceso abierto</w:t>
            </w:r>
            <w:r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.</w:t>
            </w:r>
          </w:p>
        </w:tc>
      </w:tr>
    </w:tbl>
    <w:p w:rsidR="001F1F19" w:rsidRPr="00E34EF0" w:rsidRDefault="001F1F19" w:rsidP="00EE56B8">
      <w:pPr>
        <w:rPr>
          <w:rFonts w:ascii="Times New Roman" w:hAnsi="Times New Roman" w:cs="Times New Roman"/>
        </w:rPr>
      </w:pPr>
    </w:p>
    <w:p w:rsidR="00AA2F54" w:rsidRPr="00520896" w:rsidRDefault="00AA2F54"/>
    <w:sectPr w:rsidR="00AA2F54" w:rsidRPr="0052089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4EA6" w:rsidRDefault="00704EA6" w:rsidP="00E34EF0">
      <w:r>
        <w:separator/>
      </w:r>
    </w:p>
  </w:endnote>
  <w:endnote w:type="continuationSeparator" w:id="0">
    <w:p w:rsidR="00704EA6" w:rsidRDefault="00704EA6" w:rsidP="00E3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4EA6" w:rsidRDefault="00704EA6" w:rsidP="00E34EF0">
      <w:r>
        <w:separator/>
      </w:r>
    </w:p>
  </w:footnote>
  <w:footnote w:type="continuationSeparator" w:id="0">
    <w:p w:rsidR="00704EA6" w:rsidRDefault="00704EA6" w:rsidP="00E3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4EF0" w:rsidRDefault="00E34EF0">
    <w:pPr>
      <w:pStyle w:val="Encabezado"/>
    </w:pPr>
    <w:r w:rsidRPr="005E41B8"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4D73C2F3">
          <wp:simplePos x="0" y="0"/>
          <wp:positionH relativeFrom="column">
            <wp:posOffset>-474626</wp:posOffset>
          </wp:positionH>
          <wp:positionV relativeFrom="page">
            <wp:posOffset>153720</wp:posOffset>
          </wp:positionV>
          <wp:extent cx="2185035" cy="847725"/>
          <wp:effectExtent l="0" t="0" r="0" b="0"/>
          <wp:wrapSquare wrapText="bothSides"/>
          <wp:docPr id="1" name="Imagen 1" descr="C:\Users\JANETH~1.MOR\AppData\Local\Temp\Rar$DRa5392.44048\Logo UNAE Vinculacion con la Sociedad\Logo-Aplica-UNAE-Vinculacion-con-la-Sociedad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ANETH~1.MOR\AppData\Local\Temp\Rar$DRa5392.44048\Logo UNAE Vinculacion con la Sociedad\Logo-Aplica-UNAE-Vinculacion-con-la-Sociedad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4EF0" w:rsidRDefault="00E34E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B8"/>
    <w:rsid w:val="00026E47"/>
    <w:rsid w:val="001C3F41"/>
    <w:rsid w:val="001F1F19"/>
    <w:rsid w:val="002126EF"/>
    <w:rsid w:val="00232192"/>
    <w:rsid w:val="002372F2"/>
    <w:rsid w:val="00383AE8"/>
    <w:rsid w:val="00423B6D"/>
    <w:rsid w:val="00520896"/>
    <w:rsid w:val="00587C69"/>
    <w:rsid w:val="005C505B"/>
    <w:rsid w:val="005E7CA0"/>
    <w:rsid w:val="00646BEE"/>
    <w:rsid w:val="006C0689"/>
    <w:rsid w:val="00704EA6"/>
    <w:rsid w:val="0071116C"/>
    <w:rsid w:val="0071352B"/>
    <w:rsid w:val="00754460"/>
    <w:rsid w:val="007F76FC"/>
    <w:rsid w:val="00900325"/>
    <w:rsid w:val="0096096D"/>
    <w:rsid w:val="009C081E"/>
    <w:rsid w:val="00A438DD"/>
    <w:rsid w:val="00AA2F54"/>
    <w:rsid w:val="00B33FEF"/>
    <w:rsid w:val="00B529EF"/>
    <w:rsid w:val="00B76050"/>
    <w:rsid w:val="00C30F62"/>
    <w:rsid w:val="00C43B11"/>
    <w:rsid w:val="00C55C71"/>
    <w:rsid w:val="00C84A1B"/>
    <w:rsid w:val="00C852FA"/>
    <w:rsid w:val="00DB3A1B"/>
    <w:rsid w:val="00E34EF0"/>
    <w:rsid w:val="00ED01E2"/>
    <w:rsid w:val="00EE56B8"/>
    <w:rsid w:val="00F63D68"/>
    <w:rsid w:val="00F8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1DC79"/>
  <w15:chartTrackingRefBased/>
  <w15:docId w15:val="{966C5C4E-7038-284E-8853-9D5FDA63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i732d6d">
    <w:name w:val="oi732d6d"/>
    <w:basedOn w:val="Fuentedeprrafopredeter"/>
    <w:rsid w:val="00026E47"/>
  </w:style>
  <w:style w:type="table" w:styleId="Tablaconcuadrcula">
    <w:name w:val="Table Grid"/>
    <w:basedOn w:val="Tablanormal"/>
    <w:uiPriority w:val="39"/>
    <w:rsid w:val="001F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4E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4EF0"/>
  </w:style>
  <w:style w:type="paragraph" w:styleId="Piedepgina">
    <w:name w:val="footer"/>
    <w:basedOn w:val="Normal"/>
    <w:link w:val="PiedepginaCar"/>
    <w:uiPriority w:val="99"/>
    <w:unhideWhenUsed/>
    <w:rsid w:val="00E34E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2020-06-12T23:49:00Z</dcterms:created>
  <dcterms:modified xsi:type="dcterms:W3CDTF">2020-10-08T21:17:00Z</dcterms:modified>
</cp:coreProperties>
</file>